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D54" w:rsidRDefault="00000000">
      <w:pPr>
        <w:jc w:val="center"/>
        <w:rPr>
          <w:b/>
        </w:rPr>
      </w:pPr>
      <w:r>
        <w:rPr>
          <w:b/>
        </w:rPr>
        <w:t>CURRICULUM VITAE</w:t>
      </w:r>
    </w:p>
    <w:p w:rsidR="00E32D54" w:rsidRDefault="00E32D54">
      <w:pPr>
        <w:jc w:val="center"/>
        <w:rPr>
          <w:rFonts w:ascii="Verdana" w:eastAsia="Verdana" w:hAnsi="Verdana" w:cs="Verdana"/>
          <w:b/>
          <w:sz w:val="32"/>
          <w:szCs w:val="32"/>
          <w:shd w:val="clear" w:color="auto" w:fill="E6E6E6"/>
          <w:vertAlign w:val="superscript"/>
        </w:rPr>
      </w:pPr>
    </w:p>
    <w:p w:rsidR="00E32D54" w:rsidRDefault="00000000">
      <w:pPr>
        <w:pBdr>
          <w:bottom w:val="single" w:sz="18" w:space="1" w:color="000000"/>
        </w:pBdr>
        <w:rPr>
          <w:rFonts w:ascii="Verdana" w:eastAsia="Verdana" w:hAnsi="Verdana" w:cs="Verdana"/>
          <w:sz w:val="20"/>
          <w:szCs w:val="20"/>
        </w:rPr>
      </w:pPr>
      <w:bookmarkStart w:id="0" w:name="_heading=h.gjdgxs" w:colFirst="0" w:colLast="0"/>
      <w:bookmarkEnd w:id="0"/>
      <w:r>
        <w:rPr>
          <w:rFonts w:ascii="Verdana" w:eastAsia="Verdana" w:hAnsi="Verdana" w:cs="Verdana"/>
          <w:b/>
          <w:sz w:val="20"/>
          <w:szCs w:val="20"/>
        </w:rPr>
        <w:t>PERSONAL DETAILS</w:t>
      </w:r>
      <w:r>
        <w:rPr>
          <w:rFonts w:ascii="Verdana" w:eastAsia="Verdana" w:hAnsi="Verdana" w:cs="Verdana"/>
          <w:b/>
          <w:sz w:val="20"/>
          <w:szCs w:val="20"/>
        </w:rPr>
        <w:tab/>
        <w:t>-</w:t>
      </w:r>
      <w:r>
        <w:rPr>
          <w:rFonts w:ascii="Verdana" w:eastAsia="Verdana" w:hAnsi="Verdana" w:cs="Verdana"/>
          <w:b/>
          <w:sz w:val="20"/>
          <w:szCs w:val="20"/>
        </w:rPr>
        <w:tab/>
        <w:t>HARJEET KAUR  D/o Sh. Kaka Singh</w:t>
      </w:r>
      <w:r>
        <w:rPr>
          <w:noProof/>
        </w:rPr>
        <mc:AlternateContent>
          <mc:Choice Requires="wpg">
            <w:drawing>
              <wp:anchor distT="0" distB="0" distL="114300" distR="114300" simplePos="0" relativeHeight="251658240" behindDoc="0" locked="0" layoutInCell="1" hidden="0" allowOverlap="1">
                <wp:simplePos x="0" y="0"/>
                <wp:positionH relativeFrom="column">
                  <wp:posOffset>5588000</wp:posOffset>
                </wp:positionH>
                <wp:positionV relativeFrom="paragraph">
                  <wp:posOffset>0</wp:posOffset>
                </wp:positionV>
                <wp:extent cx="1152525" cy="1495425"/>
                <wp:effectExtent l="0" t="0" r="0" b="0"/>
                <wp:wrapNone/>
                <wp:docPr id="2" name="Rectangle 2"/>
                <wp:cNvGraphicFramePr/>
                <a:graphic xmlns:a="http://schemas.openxmlformats.org/drawingml/2006/main">
                  <a:graphicData uri="http://schemas.microsoft.com/office/word/2010/wordprocessingShape">
                    <wps:wsp>
                      <wps:cNvSpPr/>
                      <wps:spPr>
                        <a:xfrm>
                          <a:off x="4774500" y="3037050"/>
                          <a:ext cx="1143000" cy="1485900"/>
                        </a:xfrm>
                        <a:prstGeom prst="rect">
                          <a:avLst/>
                        </a:prstGeom>
                        <a:solidFill>
                          <a:srgbClr val="FFFFFF"/>
                        </a:solidFill>
                        <a:ln>
                          <a:noFill/>
                        </a:ln>
                      </wps:spPr>
                      <wps:txbx>
                        <w:txbxContent>
                          <w:p w:rsidR="00E32D54" w:rsidRDefault="00E32D5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5588000</wp:posOffset>
                </wp:positionH>
                <wp:positionV relativeFrom="paragraph">
                  <wp:posOffset>0</wp:posOffset>
                </wp:positionV>
                <wp:extent cx="1152525" cy="1495425"/>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152525" cy="1495425"/>
                        </a:xfrm>
                        <a:prstGeom prst="rect"/>
                        <a:ln/>
                      </pic:spPr>
                    </pic:pic>
                  </a:graphicData>
                </a:graphic>
              </wp:anchor>
            </w:drawing>
          </mc:Fallback>
        </mc:AlternateContent>
      </w:r>
    </w:p>
    <w:p w:rsidR="00E32D54" w:rsidRDefault="00E32D54">
      <w:pPr>
        <w:rPr>
          <w:rFonts w:ascii="Verdana" w:eastAsia="Verdana" w:hAnsi="Verdana" w:cs="Verdana"/>
          <w:sz w:val="20"/>
          <w:szCs w:val="20"/>
        </w:rPr>
      </w:pPr>
    </w:p>
    <w:p w:rsidR="00E32D54" w:rsidRDefault="00000000">
      <w:pPr>
        <w:rPr>
          <w:rFonts w:ascii="Verdana" w:eastAsia="Verdana" w:hAnsi="Verdana" w:cs="Verdana"/>
          <w:sz w:val="20"/>
          <w:szCs w:val="20"/>
        </w:rPr>
      </w:pPr>
      <w:r>
        <w:rPr>
          <w:rFonts w:ascii="Verdana" w:eastAsia="Verdana" w:hAnsi="Verdana" w:cs="Verdana"/>
          <w:sz w:val="20"/>
          <w:szCs w:val="20"/>
        </w:rPr>
        <w:t xml:space="preserve">Residential Address: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Vill. Dhahe, P.O. Jindwari, Tehsil Nangal, </w:t>
      </w:r>
    </w:p>
    <w:p w:rsidR="00E32D54" w:rsidRDefault="00000000">
      <w:pPr>
        <w:rPr>
          <w:rFonts w:ascii="Verdana" w:eastAsia="Verdana" w:hAnsi="Verdana" w:cs="Verdana"/>
          <w:sz w:val="20"/>
          <w:szCs w:val="20"/>
        </w:rPr>
      </w:pPr>
      <w:r>
        <w:rPr>
          <w:rFonts w:ascii="Verdana" w:eastAsia="Verdana" w:hAnsi="Verdana" w:cs="Verdana"/>
          <w:sz w:val="20"/>
          <w:szCs w:val="20"/>
        </w:rPr>
        <w:t xml:space="preserve">                                                    District: Ropar, Punjab</w:t>
      </w:r>
    </w:p>
    <w:p w:rsidR="00E32D54" w:rsidRDefault="00000000">
      <w:pPr>
        <w:rPr>
          <w:rFonts w:ascii="Verdana" w:eastAsia="Verdana" w:hAnsi="Verdana" w:cs="Verdana"/>
          <w:sz w:val="20"/>
          <w:szCs w:val="20"/>
        </w:rPr>
      </w:pPr>
      <w:r>
        <w:rPr>
          <w:rFonts w:ascii="Verdana" w:eastAsia="Verdana" w:hAnsi="Verdana" w:cs="Verdana"/>
          <w:sz w:val="20"/>
          <w:szCs w:val="20"/>
        </w:rPr>
        <w:t xml:space="preserve">Mobile: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9592862191</w:t>
      </w:r>
    </w:p>
    <w:p w:rsidR="00E32D54" w:rsidRDefault="00000000">
      <w:pPr>
        <w:rPr>
          <w:rFonts w:ascii="Verdana" w:eastAsia="Verdana" w:hAnsi="Verdana" w:cs="Verdana"/>
          <w:sz w:val="20"/>
          <w:szCs w:val="20"/>
        </w:rPr>
      </w:pPr>
      <w:r>
        <w:rPr>
          <w:rFonts w:ascii="Verdana" w:eastAsia="Verdana" w:hAnsi="Verdana" w:cs="Verdana"/>
          <w:sz w:val="20"/>
          <w:szCs w:val="20"/>
        </w:rPr>
        <w:t>Email:                                           kaurharjeet010@gmail.com</w:t>
      </w:r>
    </w:p>
    <w:p w:rsidR="00E32D54" w:rsidRDefault="00000000">
      <w:pPr>
        <w:rPr>
          <w:rFonts w:ascii="Verdana" w:eastAsia="Verdana" w:hAnsi="Verdana" w:cs="Verdana"/>
          <w:sz w:val="20"/>
          <w:szCs w:val="20"/>
        </w:rPr>
      </w:pPr>
      <w:r>
        <w:rPr>
          <w:rFonts w:ascii="Verdana" w:eastAsia="Verdana" w:hAnsi="Verdana" w:cs="Verdana"/>
          <w:sz w:val="20"/>
          <w:szCs w:val="20"/>
        </w:rPr>
        <w:t xml:space="preserve">Date of Birth: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March 10,1989</w:t>
      </w:r>
    </w:p>
    <w:p w:rsidR="00E32D54" w:rsidRDefault="00000000">
      <w:pPr>
        <w:rPr>
          <w:rFonts w:ascii="Verdana" w:eastAsia="Verdana" w:hAnsi="Verdana" w:cs="Verdana"/>
          <w:sz w:val="20"/>
          <w:szCs w:val="20"/>
        </w:rPr>
      </w:pPr>
      <w:r>
        <w:rPr>
          <w:rFonts w:ascii="Verdana" w:eastAsia="Verdana" w:hAnsi="Verdana" w:cs="Verdana"/>
          <w:sz w:val="20"/>
          <w:szCs w:val="20"/>
        </w:rPr>
        <w:t xml:space="preserve">Nationality: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Indian</w:t>
      </w:r>
    </w:p>
    <w:p w:rsidR="00E32D54" w:rsidRDefault="00000000">
      <w:pPr>
        <w:pBdr>
          <w:bottom w:val="single" w:sz="18" w:space="1" w:color="000000"/>
        </w:pBdr>
        <w:rPr>
          <w:rFonts w:ascii="Verdana" w:eastAsia="Verdana" w:hAnsi="Verdana" w:cs="Verdana"/>
          <w:b/>
          <w:sz w:val="20"/>
          <w:szCs w:val="20"/>
        </w:rPr>
      </w:pPr>
      <w:bookmarkStart w:id="1" w:name="_heading=h.30j0zll" w:colFirst="0" w:colLast="0"/>
      <w:bookmarkEnd w:id="1"/>
      <w:r>
        <w:rPr>
          <w:rFonts w:ascii="Verdana" w:eastAsia="Verdana" w:hAnsi="Verdana" w:cs="Verdana"/>
          <w:b/>
          <w:sz w:val="20"/>
          <w:szCs w:val="20"/>
        </w:rPr>
        <w:t>Education Qualification:</w:t>
      </w:r>
    </w:p>
    <w:p w:rsidR="00E32D54" w:rsidRDefault="00E32D54">
      <w:pPr>
        <w:rPr>
          <w:rFonts w:ascii="Verdana" w:eastAsia="Verdana" w:hAnsi="Verdana" w:cs="Verdana"/>
          <w:sz w:val="20"/>
          <w:szCs w:val="20"/>
        </w:rPr>
      </w:pPr>
    </w:p>
    <w:p w:rsidR="00E32D54" w:rsidRDefault="00E32D54">
      <w:pPr>
        <w:rPr>
          <w:rFonts w:ascii="Verdana" w:eastAsia="Verdana" w:hAnsi="Verdana" w:cs="Verdana"/>
          <w:sz w:val="20"/>
          <w:szCs w:val="20"/>
        </w:rPr>
      </w:pP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1616"/>
        <w:gridCol w:w="3890"/>
        <w:gridCol w:w="2143"/>
      </w:tblGrid>
      <w:tr w:rsidR="00E32D54">
        <w:tc>
          <w:tcPr>
            <w:tcW w:w="1979" w:type="dxa"/>
          </w:tcPr>
          <w:p w:rsidR="00E32D54" w:rsidRDefault="00000000">
            <w:pPr>
              <w:rPr>
                <w:rFonts w:ascii="Verdana" w:eastAsia="Verdana" w:hAnsi="Verdana" w:cs="Verdana"/>
                <w:b/>
                <w:sz w:val="20"/>
                <w:szCs w:val="20"/>
              </w:rPr>
            </w:pPr>
            <w:r>
              <w:rPr>
                <w:rFonts w:ascii="Verdana" w:eastAsia="Verdana" w:hAnsi="Verdana" w:cs="Verdana"/>
                <w:b/>
                <w:sz w:val="20"/>
                <w:szCs w:val="20"/>
              </w:rPr>
              <w:t>Degree</w:t>
            </w:r>
          </w:p>
        </w:tc>
        <w:tc>
          <w:tcPr>
            <w:tcW w:w="1616" w:type="dxa"/>
          </w:tcPr>
          <w:p w:rsidR="00E32D54" w:rsidRDefault="00000000">
            <w:pPr>
              <w:rPr>
                <w:rFonts w:ascii="Verdana" w:eastAsia="Verdana" w:hAnsi="Verdana" w:cs="Verdana"/>
                <w:b/>
                <w:sz w:val="20"/>
                <w:szCs w:val="20"/>
              </w:rPr>
            </w:pPr>
            <w:r>
              <w:rPr>
                <w:rFonts w:ascii="Verdana" w:eastAsia="Verdana" w:hAnsi="Verdana" w:cs="Verdana"/>
                <w:b/>
                <w:sz w:val="20"/>
                <w:szCs w:val="20"/>
              </w:rPr>
              <w:t>Passing year</w:t>
            </w:r>
          </w:p>
        </w:tc>
        <w:tc>
          <w:tcPr>
            <w:tcW w:w="3890" w:type="dxa"/>
          </w:tcPr>
          <w:p w:rsidR="00E32D54" w:rsidRDefault="00000000">
            <w:pPr>
              <w:rPr>
                <w:rFonts w:ascii="Verdana" w:eastAsia="Verdana" w:hAnsi="Verdana" w:cs="Verdana"/>
                <w:b/>
                <w:sz w:val="20"/>
                <w:szCs w:val="20"/>
              </w:rPr>
            </w:pPr>
            <w:r>
              <w:rPr>
                <w:rFonts w:ascii="Verdana" w:eastAsia="Verdana" w:hAnsi="Verdana" w:cs="Verdana"/>
                <w:b/>
                <w:sz w:val="20"/>
                <w:szCs w:val="20"/>
              </w:rPr>
              <w:t>Board/University</w:t>
            </w:r>
          </w:p>
        </w:tc>
        <w:tc>
          <w:tcPr>
            <w:tcW w:w="2143" w:type="dxa"/>
          </w:tcPr>
          <w:p w:rsidR="00E32D54" w:rsidRDefault="00000000">
            <w:pPr>
              <w:rPr>
                <w:rFonts w:ascii="Verdana" w:eastAsia="Verdana" w:hAnsi="Verdana" w:cs="Verdana"/>
                <w:b/>
                <w:sz w:val="20"/>
                <w:szCs w:val="20"/>
              </w:rPr>
            </w:pPr>
            <w:r>
              <w:rPr>
                <w:rFonts w:ascii="Verdana" w:eastAsia="Verdana" w:hAnsi="Verdana" w:cs="Verdana"/>
                <w:b/>
                <w:sz w:val="20"/>
                <w:szCs w:val="20"/>
              </w:rPr>
              <w:t>Marks in %</w:t>
            </w:r>
          </w:p>
        </w:tc>
      </w:tr>
      <w:tr w:rsidR="00E32D54">
        <w:tc>
          <w:tcPr>
            <w:tcW w:w="1979" w:type="dxa"/>
          </w:tcPr>
          <w:p w:rsidR="00E32D54" w:rsidRDefault="00000000">
            <w:pPr>
              <w:rPr>
                <w:rFonts w:ascii="Verdana" w:eastAsia="Verdana" w:hAnsi="Verdana" w:cs="Verdana"/>
                <w:sz w:val="20"/>
                <w:szCs w:val="20"/>
              </w:rPr>
            </w:pPr>
            <w:r>
              <w:rPr>
                <w:rFonts w:ascii="Verdana" w:eastAsia="Verdana" w:hAnsi="Verdana" w:cs="Verdana"/>
                <w:sz w:val="20"/>
                <w:szCs w:val="20"/>
              </w:rPr>
              <w:t>Ph.D</w:t>
            </w:r>
          </w:p>
        </w:tc>
        <w:tc>
          <w:tcPr>
            <w:tcW w:w="1616" w:type="dxa"/>
          </w:tcPr>
          <w:p w:rsidR="00E32D54" w:rsidRDefault="00000000">
            <w:pPr>
              <w:jc w:val="center"/>
              <w:rPr>
                <w:rFonts w:ascii="Verdana" w:eastAsia="Verdana" w:hAnsi="Verdana" w:cs="Verdana"/>
                <w:sz w:val="20"/>
                <w:szCs w:val="20"/>
              </w:rPr>
            </w:pPr>
            <w:r>
              <w:rPr>
                <w:rFonts w:ascii="Verdana" w:eastAsia="Verdana" w:hAnsi="Verdana" w:cs="Verdana"/>
                <w:sz w:val="20"/>
                <w:szCs w:val="20"/>
              </w:rPr>
              <w:t>2022</w:t>
            </w:r>
          </w:p>
        </w:tc>
        <w:tc>
          <w:tcPr>
            <w:tcW w:w="3890" w:type="dxa"/>
          </w:tcPr>
          <w:p w:rsidR="00E32D54" w:rsidRDefault="00000000">
            <w:pPr>
              <w:rPr>
                <w:rFonts w:ascii="Verdana" w:eastAsia="Verdana" w:hAnsi="Verdana" w:cs="Verdana"/>
                <w:sz w:val="20"/>
                <w:szCs w:val="20"/>
              </w:rPr>
            </w:pPr>
            <w:r>
              <w:rPr>
                <w:rFonts w:ascii="Verdana" w:eastAsia="Verdana" w:hAnsi="Verdana" w:cs="Verdana"/>
                <w:sz w:val="20"/>
                <w:szCs w:val="20"/>
              </w:rPr>
              <w:t>Punjabi Universiy</w:t>
            </w:r>
          </w:p>
        </w:tc>
        <w:tc>
          <w:tcPr>
            <w:tcW w:w="2143" w:type="dxa"/>
          </w:tcPr>
          <w:p w:rsidR="00E32D54" w:rsidRDefault="00000000">
            <w:pPr>
              <w:rPr>
                <w:rFonts w:ascii="Verdana" w:eastAsia="Verdana" w:hAnsi="Verdana" w:cs="Verdana"/>
                <w:sz w:val="20"/>
                <w:szCs w:val="20"/>
              </w:rPr>
            </w:pPr>
            <w:r>
              <w:rPr>
                <w:rFonts w:ascii="Verdana" w:eastAsia="Verdana" w:hAnsi="Verdana" w:cs="Verdana"/>
                <w:sz w:val="20"/>
                <w:szCs w:val="20"/>
              </w:rPr>
              <w:t>-</w:t>
            </w:r>
          </w:p>
        </w:tc>
      </w:tr>
      <w:tr w:rsidR="00E32D54">
        <w:tc>
          <w:tcPr>
            <w:tcW w:w="1979" w:type="dxa"/>
          </w:tcPr>
          <w:p w:rsidR="00E32D54" w:rsidRDefault="00000000">
            <w:pPr>
              <w:rPr>
                <w:rFonts w:ascii="Verdana" w:eastAsia="Verdana" w:hAnsi="Verdana" w:cs="Verdana"/>
                <w:sz w:val="20"/>
                <w:szCs w:val="20"/>
              </w:rPr>
            </w:pPr>
            <w:r>
              <w:rPr>
                <w:rFonts w:ascii="Verdana" w:eastAsia="Verdana" w:hAnsi="Verdana" w:cs="Verdana"/>
                <w:sz w:val="20"/>
                <w:szCs w:val="20"/>
              </w:rPr>
              <w:t>NET</w:t>
            </w:r>
          </w:p>
        </w:tc>
        <w:tc>
          <w:tcPr>
            <w:tcW w:w="1616" w:type="dxa"/>
          </w:tcPr>
          <w:p w:rsidR="00E32D54" w:rsidRDefault="00000000">
            <w:pPr>
              <w:jc w:val="center"/>
              <w:rPr>
                <w:rFonts w:ascii="Verdana" w:eastAsia="Verdana" w:hAnsi="Verdana" w:cs="Verdana"/>
                <w:sz w:val="20"/>
                <w:szCs w:val="20"/>
              </w:rPr>
            </w:pPr>
            <w:r>
              <w:rPr>
                <w:rFonts w:ascii="Verdana" w:eastAsia="Verdana" w:hAnsi="Verdana" w:cs="Verdana"/>
                <w:sz w:val="20"/>
                <w:szCs w:val="20"/>
              </w:rPr>
              <w:t>2019</w:t>
            </w:r>
          </w:p>
        </w:tc>
        <w:tc>
          <w:tcPr>
            <w:tcW w:w="3890" w:type="dxa"/>
          </w:tcPr>
          <w:p w:rsidR="00E32D54" w:rsidRDefault="00000000">
            <w:pPr>
              <w:rPr>
                <w:rFonts w:ascii="Verdana" w:eastAsia="Verdana" w:hAnsi="Verdana" w:cs="Verdana"/>
                <w:sz w:val="20"/>
                <w:szCs w:val="20"/>
              </w:rPr>
            </w:pPr>
            <w:r>
              <w:rPr>
                <w:rFonts w:ascii="Verdana" w:eastAsia="Verdana" w:hAnsi="Verdana" w:cs="Verdana"/>
                <w:sz w:val="20"/>
                <w:szCs w:val="20"/>
              </w:rPr>
              <w:t>NTA-UGC</w:t>
            </w:r>
          </w:p>
        </w:tc>
        <w:tc>
          <w:tcPr>
            <w:tcW w:w="2143" w:type="dxa"/>
          </w:tcPr>
          <w:p w:rsidR="00E32D54" w:rsidRDefault="00000000">
            <w:pPr>
              <w:rPr>
                <w:rFonts w:ascii="Verdana" w:eastAsia="Verdana" w:hAnsi="Verdana" w:cs="Verdana"/>
                <w:sz w:val="20"/>
                <w:szCs w:val="20"/>
              </w:rPr>
            </w:pPr>
            <w:r>
              <w:rPr>
                <w:rFonts w:ascii="Verdana" w:eastAsia="Verdana" w:hAnsi="Verdana" w:cs="Verdana"/>
                <w:sz w:val="20"/>
                <w:szCs w:val="20"/>
              </w:rPr>
              <w:t>68 %</w:t>
            </w:r>
          </w:p>
        </w:tc>
      </w:tr>
      <w:tr w:rsidR="00E32D54">
        <w:tc>
          <w:tcPr>
            <w:tcW w:w="1979" w:type="dxa"/>
          </w:tcPr>
          <w:p w:rsidR="00E32D54" w:rsidRDefault="00000000">
            <w:pPr>
              <w:rPr>
                <w:rFonts w:ascii="Verdana" w:eastAsia="Verdana" w:hAnsi="Verdana" w:cs="Verdana"/>
                <w:sz w:val="20"/>
                <w:szCs w:val="20"/>
              </w:rPr>
            </w:pPr>
            <w:r>
              <w:rPr>
                <w:rFonts w:ascii="Verdana" w:eastAsia="Verdana" w:hAnsi="Verdana" w:cs="Verdana"/>
                <w:sz w:val="20"/>
                <w:szCs w:val="20"/>
              </w:rPr>
              <w:t>M.Phil.</w:t>
            </w:r>
          </w:p>
        </w:tc>
        <w:tc>
          <w:tcPr>
            <w:tcW w:w="1616" w:type="dxa"/>
          </w:tcPr>
          <w:p w:rsidR="00E32D54" w:rsidRDefault="00000000">
            <w:pPr>
              <w:jc w:val="center"/>
              <w:rPr>
                <w:rFonts w:ascii="Verdana" w:eastAsia="Verdana" w:hAnsi="Verdana" w:cs="Verdana"/>
                <w:sz w:val="20"/>
                <w:szCs w:val="20"/>
              </w:rPr>
            </w:pPr>
            <w:r>
              <w:rPr>
                <w:rFonts w:ascii="Verdana" w:eastAsia="Verdana" w:hAnsi="Verdana" w:cs="Verdana"/>
                <w:sz w:val="20"/>
                <w:szCs w:val="20"/>
              </w:rPr>
              <w:t>2015</w:t>
            </w:r>
          </w:p>
        </w:tc>
        <w:tc>
          <w:tcPr>
            <w:tcW w:w="3890" w:type="dxa"/>
          </w:tcPr>
          <w:p w:rsidR="00E32D54" w:rsidRDefault="00000000">
            <w:pPr>
              <w:rPr>
                <w:rFonts w:ascii="Verdana" w:eastAsia="Verdana" w:hAnsi="Verdana" w:cs="Verdana"/>
                <w:sz w:val="20"/>
                <w:szCs w:val="20"/>
              </w:rPr>
            </w:pPr>
            <w:r>
              <w:rPr>
                <w:rFonts w:ascii="Verdana" w:eastAsia="Verdana" w:hAnsi="Verdana" w:cs="Verdana"/>
                <w:sz w:val="20"/>
                <w:szCs w:val="20"/>
              </w:rPr>
              <w:t>Punjabi University Patiala</w:t>
            </w:r>
          </w:p>
        </w:tc>
        <w:tc>
          <w:tcPr>
            <w:tcW w:w="2143" w:type="dxa"/>
          </w:tcPr>
          <w:p w:rsidR="00E32D54" w:rsidRDefault="00000000">
            <w:pPr>
              <w:rPr>
                <w:rFonts w:ascii="Verdana" w:eastAsia="Verdana" w:hAnsi="Verdana" w:cs="Verdana"/>
                <w:sz w:val="20"/>
                <w:szCs w:val="20"/>
              </w:rPr>
            </w:pPr>
            <w:r>
              <w:rPr>
                <w:rFonts w:ascii="Verdana" w:eastAsia="Verdana" w:hAnsi="Verdana" w:cs="Verdana"/>
                <w:sz w:val="20"/>
                <w:szCs w:val="20"/>
              </w:rPr>
              <w:t>Grade A</w:t>
            </w:r>
          </w:p>
        </w:tc>
      </w:tr>
      <w:tr w:rsidR="00E32D54">
        <w:tc>
          <w:tcPr>
            <w:tcW w:w="1979" w:type="dxa"/>
          </w:tcPr>
          <w:p w:rsidR="00E32D54" w:rsidRDefault="00000000">
            <w:pPr>
              <w:rPr>
                <w:rFonts w:ascii="Verdana" w:eastAsia="Verdana" w:hAnsi="Verdana" w:cs="Verdana"/>
                <w:sz w:val="20"/>
                <w:szCs w:val="20"/>
              </w:rPr>
            </w:pPr>
            <w:r>
              <w:rPr>
                <w:rFonts w:ascii="Verdana" w:eastAsia="Verdana" w:hAnsi="Verdana" w:cs="Verdana"/>
                <w:sz w:val="20"/>
                <w:szCs w:val="20"/>
              </w:rPr>
              <w:t>M.A.(Economics.)</w:t>
            </w:r>
          </w:p>
        </w:tc>
        <w:tc>
          <w:tcPr>
            <w:tcW w:w="1616" w:type="dxa"/>
          </w:tcPr>
          <w:p w:rsidR="00E32D54" w:rsidRDefault="00000000">
            <w:pPr>
              <w:jc w:val="center"/>
              <w:rPr>
                <w:rFonts w:ascii="Verdana" w:eastAsia="Verdana" w:hAnsi="Verdana" w:cs="Verdana"/>
                <w:sz w:val="20"/>
                <w:szCs w:val="20"/>
              </w:rPr>
            </w:pPr>
            <w:r>
              <w:rPr>
                <w:rFonts w:ascii="Verdana" w:eastAsia="Verdana" w:hAnsi="Verdana" w:cs="Verdana"/>
                <w:sz w:val="20"/>
                <w:szCs w:val="20"/>
              </w:rPr>
              <w:t>2013</w:t>
            </w:r>
          </w:p>
        </w:tc>
        <w:tc>
          <w:tcPr>
            <w:tcW w:w="3890" w:type="dxa"/>
          </w:tcPr>
          <w:p w:rsidR="00E32D54" w:rsidRDefault="00000000">
            <w:pPr>
              <w:rPr>
                <w:rFonts w:ascii="Verdana" w:eastAsia="Verdana" w:hAnsi="Verdana" w:cs="Verdana"/>
                <w:sz w:val="20"/>
                <w:szCs w:val="20"/>
              </w:rPr>
            </w:pPr>
            <w:r>
              <w:rPr>
                <w:rFonts w:ascii="Verdana" w:eastAsia="Verdana" w:hAnsi="Verdana" w:cs="Verdana"/>
                <w:sz w:val="20"/>
                <w:szCs w:val="20"/>
              </w:rPr>
              <w:t>Punjabi University Patiala</w:t>
            </w:r>
          </w:p>
        </w:tc>
        <w:tc>
          <w:tcPr>
            <w:tcW w:w="2143" w:type="dxa"/>
          </w:tcPr>
          <w:p w:rsidR="00E32D54" w:rsidRDefault="00000000">
            <w:pPr>
              <w:rPr>
                <w:rFonts w:ascii="Verdana" w:eastAsia="Verdana" w:hAnsi="Verdana" w:cs="Verdana"/>
                <w:sz w:val="20"/>
                <w:szCs w:val="20"/>
              </w:rPr>
            </w:pPr>
            <w:r>
              <w:rPr>
                <w:rFonts w:ascii="Verdana" w:eastAsia="Verdana" w:hAnsi="Verdana" w:cs="Verdana"/>
                <w:sz w:val="20"/>
                <w:szCs w:val="20"/>
              </w:rPr>
              <w:t>65.88%</w:t>
            </w:r>
          </w:p>
        </w:tc>
      </w:tr>
      <w:tr w:rsidR="00E32D54">
        <w:tc>
          <w:tcPr>
            <w:tcW w:w="1979" w:type="dxa"/>
          </w:tcPr>
          <w:p w:rsidR="00E32D54" w:rsidRDefault="00000000">
            <w:pPr>
              <w:rPr>
                <w:rFonts w:ascii="Verdana" w:eastAsia="Verdana" w:hAnsi="Verdana" w:cs="Verdana"/>
                <w:sz w:val="20"/>
                <w:szCs w:val="20"/>
              </w:rPr>
            </w:pPr>
            <w:r>
              <w:rPr>
                <w:rFonts w:ascii="Verdana" w:eastAsia="Verdana" w:hAnsi="Verdana" w:cs="Verdana"/>
                <w:sz w:val="20"/>
                <w:szCs w:val="20"/>
              </w:rPr>
              <w:t>B.Ed.</w:t>
            </w:r>
          </w:p>
        </w:tc>
        <w:tc>
          <w:tcPr>
            <w:tcW w:w="1616" w:type="dxa"/>
          </w:tcPr>
          <w:p w:rsidR="00E32D54" w:rsidRDefault="00000000">
            <w:pPr>
              <w:jc w:val="center"/>
              <w:rPr>
                <w:rFonts w:ascii="Verdana" w:eastAsia="Verdana" w:hAnsi="Verdana" w:cs="Verdana"/>
                <w:sz w:val="20"/>
                <w:szCs w:val="20"/>
              </w:rPr>
            </w:pPr>
            <w:r>
              <w:rPr>
                <w:rFonts w:ascii="Verdana" w:eastAsia="Verdana" w:hAnsi="Verdana" w:cs="Verdana"/>
                <w:sz w:val="20"/>
                <w:szCs w:val="20"/>
              </w:rPr>
              <w:t>2011</w:t>
            </w:r>
          </w:p>
        </w:tc>
        <w:tc>
          <w:tcPr>
            <w:tcW w:w="3890" w:type="dxa"/>
          </w:tcPr>
          <w:p w:rsidR="00E32D54" w:rsidRDefault="00000000">
            <w:pPr>
              <w:rPr>
                <w:rFonts w:ascii="Verdana" w:eastAsia="Verdana" w:hAnsi="Verdana" w:cs="Verdana"/>
                <w:sz w:val="20"/>
                <w:szCs w:val="20"/>
              </w:rPr>
            </w:pPr>
            <w:r>
              <w:rPr>
                <w:rFonts w:ascii="Verdana" w:eastAsia="Verdana" w:hAnsi="Verdana" w:cs="Verdana"/>
                <w:sz w:val="20"/>
                <w:szCs w:val="20"/>
              </w:rPr>
              <w:t>Punjabi University Patiala</w:t>
            </w:r>
          </w:p>
        </w:tc>
        <w:tc>
          <w:tcPr>
            <w:tcW w:w="2143" w:type="dxa"/>
          </w:tcPr>
          <w:p w:rsidR="00E32D54" w:rsidRDefault="00000000">
            <w:pPr>
              <w:rPr>
                <w:rFonts w:ascii="Verdana" w:eastAsia="Verdana" w:hAnsi="Verdana" w:cs="Verdana"/>
                <w:sz w:val="20"/>
                <w:szCs w:val="20"/>
              </w:rPr>
            </w:pPr>
            <w:r>
              <w:rPr>
                <w:rFonts w:ascii="Verdana" w:eastAsia="Verdana" w:hAnsi="Verdana" w:cs="Verdana"/>
                <w:sz w:val="20"/>
                <w:szCs w:val="20"/>
              </w:rPr>
              <w:t>77.25%</w:t>
            </w:r>
          </w:p>
        </w:tc>
      </w:tr>
      <w:tr w:rsidR="00E32D54">
        <w:tc>
          <w:tcPr>
            <w:tcW w:w="1979" w:type="dxa"/>
          </w:tcPr>
          <w:p w:rsidR="00E32D54" w:rsidRDefault="00000000">
            <w:pPr>
              <w:rPr>
                <w:rFonts w:ascii="Verdana" w:eastAsia="Verdana" w:hAnsi="Verdana" w:cs="Verdana"/>
                <w:sz w:val="20"/>
                <w:szCs w:val="20"/>
              </w:rPr>
            </w:pPr>
            <w:r>
              <w:rPr>
                <w:rFonts w:ascii="Verdana" w:eastAsia="Verdana" w:hAnsi="Verdana" w:cs="Verdana"/>
                <w:sz w:val="20"/>
                <w:szCs w:val="20"/>
              </w:rPr>
              <w:t>B.A.</w:t>
            </w:r>
          </w:p>
        </w:tc>
        <w:tc>
          <w:tcPr>
            <w:tcW w:w="1616" w:type="dxa"/>
          </w:tcPr>
          <w:p w:rsidR="00E32D54" w:rsidRDefault="00000000">
            <w:pPr>
              <w:jc w:val="center"/>
              <w:rPr>
                <w:rFonts w:ascii="Verdana" w:eastAsia="Verdana" w:hAnsi="Verdana" w:cs="Verdana"/>
                <w:sz w:val="20"/>
                <w:szCs w:val="20"/>
              </w:rPr>
            </w:pPr>
            <w:r>
              <w:rPr>
                <w:rFonts w:ascii="Verdana" w:eastAsia="Verdana" w:hAnsi="Verdana" w:cs="Verdana"/>
                <w:sz w:val="20"/>
                <w:szCs w:val="20"/>
              </w:rPr>
              <w:t>2010</w:t>
            </w:r>
          </w:p>
        </w:tc>
        <w:tc>
          <w:tcPr>
            <w:tcW w:w="3890" w:type="dxa"/>
          </w:tcPr>
          <w:p w:rsidR="00E32D54" w:rsidRDefault="00000000">
            <w:pPr>
              <w:rPr>
                <w:rFonts w:ascii="Verdana" w:eastAsia="Verdana" w:hAnsi="Verdana" w:cs="Verdana"/>
                <w:sz w:val="20"/>
                <w:szCs w:val="20"/>
              </w:rPr>
            </w:pPr>
            <w:r>
              <w:rPr>
                <w:rFonts w:ascii="Verdana" w:eastAsia="Verdana" w:hAnsi="Verdana" w:cs="Verdana"/>
                <w:sz w:val="20"/>
                <w:szCs w:val="20"/>
              </w:rPr>
              <w:t>Punjabi University Patiala</w:t>
            </w:r>
          </w:p>
        </w:tc>
        <w:tc>
          <w:tcPr>
            <w:tcW w:w="2143" w:type="dxa"/>
          </w:tcPr>
          <w:p w:rsidR="00E32D54" w:rsidRDefault="00000000">
            <w:pPr>
              <w:rPr>
                <w:rFonts w:ascii="Verdana" w:eastAsia="Verdana" w:hAnsi="Verdana" w:cs="Verdana"/>
                <w:sz w:val="20"/>
                <w:szCs w:val="20"/>
              </w:rPr>
            </w:pPr>
            <w:r>
              <w:rPr>
                <w:rFonts w:ascii="Verdana" w:eastAsia="Verdana" w:hAnsi="Verdana" w:cs="Verdana"/>
                <w:sz w:val="20"/>
                <w:szCs w:val="20"/>
              </w:rPr>
              <w:t>70.82%</w:t>
            </w:r>
          </w:p>
        </w:tc>
      </w:tr>
      <w:tr w:rsidR="00E32D54">
        <w:tc>
          <w:tcPr>
            <w:tcW w:w="1979" w:type="dxa"/>
          </w:tcPr>
          <w:p w:rsidR="00E32D54" w:rsidRDefault="00000000">
            <w:pPr>
              <w:rPr>
                <w:rFonts w:ascii="Verdana" w:eastAsia="Verdana" w:hAnsi="Verdana" w:cs="Verdana"/>
                <w:sz w:val="20"/>
                <w:szCs w:val="20"/>
              </w:rPr>
            </w:pPr>
            <w:r>
              <w:rPr>
                <w:rFonts w:ascii="Verdana" w:eastAsia="Verdana" w:hAnsi="Verdana" w:cs="Verdana"/>
                <w:sz w:val="20"/>
                <w:szCs w:val="20"/>
              </w:rPr>
              <w:t>12</w:t>
            </w:r>
            <w:r>
              <w:rPr>
                <w:rFonts w:ascii="Verdana" w:eastAsia="Verdana" w:hAnsi="Verdana" w:cs="Verdana"/>
                <w:sz w:val="20"/>
                <w:szCs w:val="20"/>
                <w:vertAlign w:val="superscript"/>
              </w:rPr>
              <w:t>th</w:t>
            </w:r>
            <w:r>
              <w:rPr>
                <w:rFonts w:ascii="Verdana" w:eastAsia="Verdana" w:hAnsi="Verdana" w:cs="Verdana"/>
                <w:sz w:val="20"/>
                <w:szCs w:val="20"/>
              </w:rPr>
              <w:t xml:space="preserve"> </w:t>
            </w:r>
          </w:p>
        </w:tc>
        <w:tc>
          <w:tcPr>
            <w:tcW w:w="1616" w:type="dxa"/>
          </w:tcPr>
          <w:p w:rsidR="00E32D54" w:rsidRDefault="00000000">
            <w:pPr>
              <w:jc w:val="center"/>
              <w:rPr>
                <w:rFonts w:ascii="Verdana" w:eastAsia="Verdana" w:hAnsi="Verdana" w:cs="Verdana"/>
                <w:sz w:val="20"/>
                <w:szCs w:val="20"/>
              </w:rPr>
            </w:pPr>
            <w:r>
              <w:rPr>
                <w:rFonts w:ascii="Verdana" w:eastAsia="Verdana" w:hAnsi="Verdana" w:cs="Verdana"/>
                <w:sz w:val="20"/>
                <w:szCs w:val="20"/>
              </w:rPr>
              <w:t>2007</w:t>
            </w:r>
          </w:p>
        </w:tc>
        <w:tc>
          <w:tcPr>
            <w:tcW w:w="3890" w:type="dxa"/>
          </w:tcPr>
          <w:p w:rsidR="00E32D54" w:rsidRDefault="00000000">
            <w:pPr>
              <w:rPr>
                <w:rFonts w:ascii="Verdana" w:eastAsia="Verdana" w:hAnsi="Verdana" w:cs="Verdana"/>
                <w:sz w:val="20"/>
                <w:szCs w:val="20"/>
              </w:rPr>
            </w:pPr>
            <w:r>
              <w:rPr>
                <w:rFonts w:ascii="Verdana" w:eastAsia="Verdana" w:hAnsi="Verdana" w:cs="Verdana"/>
                <w:sz w:val="20"/>
                <w:szCs w:val="20"/>
              </w:rPr>
              <w:t>Punjab School Education Board,Mohali</w:t>
            </w:r>
          </w:p>
        </w:tc>
        <w:tc>
          <w:tcPr>
            <w:tcW w:w="2143" w:type="dxa"/>
          </w:tcPr>
          <w:p w:rsidR="00E32D54" w:rsidRDefault="00000000">
            <w:pPr>
              <w:rPr>
                <w:rFonts w:ascii="Verdana" w:eastAsia="Verdana" w:hAnsi="Verdana" w:cs="Verdana"/>
                <w:sz w:val="20"/>
                <w:szCs w:val="20"/>
              </w:rPr>
            </w:pPr>
            <w:r>
              <w:rPr>
                <w:rFonts w:ascii="Verdana" w:eastAsia="Verdana" w:hAnsi="Verdana" w:cs="Verdana"/>
                <w:sz w:val="20"/>
                <w:szCs w:val="20"/>
              </w:rPr>
              <w:t>73.60%</w:t>
            </w:r>
          </w:p>
        </w:tc>
      </w:tr>
      <w:tr w:rsidR="00E32D54">
        <w:tc>
          <w:tcPr>
            <w:tcW w:w="1979" w:type="dxa"/>
          </w:tcPr>
          <w:p w:rsidR="00E32D54" w:rsidRDefault="00000000">
            <w:pPr>
              <w:rPr>
                <w:rFonts w:ascii="Verdana" w:eastAsia="Verdana" w:hAnsi="Verdana" w:cs="Verdana"/>
                <w:sz w:val="20"/>
                <w:szCs w:val="20"/>
              </w:rPr>
            </w:pPr>
            <w:r>
              <w:rPr>
                <w:rFonts w:ascii="Verdana" w:eastAsia="Verdana" w:hAnsi="Verdana" w:cs="Verdana"/>
                <w:sz w:val="20"/>
                <w:szCs w:val="20"/>
              </w:rPr>
              <w:t>10</w:t>
            </w:r>
            <w:r>
              <w:rPr>
                <w:rFonts w:ascii="Verdana" w:eastAsia="Verdana" w:hAnsi="Verdana" w:cs="Verdana"/>
                <w:sz w:val="20"/>
                <w:szCs w:val="20"/>
                <w:vertAlign w:val="superscript"/>
              </w:rPr>
              <w:t>th</w:t>
            </w:r>
            <w:r>
              <w:rPr>
                <w:rFonts w:ascii="Verdana" w:eastAsia="Verdana" w:hAnsi="Verdana" w:cs="Verdana"/>
                <w:sz w:val="20"/>
                <w:szCs w:val="20"/>
              </w:rPr>
              <w:t xml:space="preserve"> </w:t>
            </w:r>
          </w:p>
        </w:tc>
        <w:tc>
          <w:tcPr>
            <w:tcW w:w="1616" w:type="dxa"/>
          </w:tcPr>
          <w:p w:rsidR="00E32D54" w:rsidRDefault="00000000">
            <w:pPr>
              <w:jc w:val="center"/>
              <w:rPr>
                <w:rFonts w:ascii="Verdana" w:eastAsia="Verdana" w:hAnsi="Verdana" w:cs="Verdana"/>
                <w:sz w:val="20"/>
                <w:szCs w:val="20"/>
              </w:rPr>
            </w:pPr>
            <w:r>
              <w:rPr>
                <w:rFonts w:ascii="Verdana" w:eastAsia="Verdana" w:hAnsi="Verdana" w:cs="Verdana"/>
                <w:sz w:val="20"/>
                <w:szCs w:val="20"/>
              </w:rPr>
              <w:t>2005</w:t>
            </w:r>
          </w:p>
        </w:tc>
        <w:tc>
          <w:tcPr>
            <w:tcW w:w="3890" w:type="dxa"/>
          </w:tcPr>
          <w:p w:rsidR="00E32D54" w:rsidRDefault="00000000">
            <w:pPr>
              <w:rPr>
                <w:rFonts w:ascii="Verdana" w:eastAsia="Verdana" w:hAnsi="Verdana" w:cs="Verdana"/>
                <w:sz w:val="20"/>
                <w:szCs w:val="20"/>
              </w:rPr>
            </w:pPr>
            <w:r>
              <w:rPr>
                <w:rFonts w:ascii="Verdana" w:eastAsia="Verdana" w:hAnsi="Verdana" w:cs="Verdana"/>
                <w:sz w:val="20"/>
                <w:szCs w:val="20"/>
              </w:rPr>
              <w:t>Punjab School Education Board,Mohali</w:t>
            </w:r>
          </w:p>
        </w:tc>
        <w:tc>
          <w:tcPr>
            <w:tcW w:w="2143" w:type="dxa"/>
          </w:tcPr>
          <w:p w:rsidR="00E32D54" w:rsidRDefault="00000000">
            <w:pPr>
              <w:rPr>
                <w:rFonts w:ascii="Verdana" w:eastAsia="Verdana" w:hAnsi="Verdana" w:cs="Verdana"/>
                <w:sz w:val="20"/>
                <w:szCs w:val="20"/>
              </w:rPr>
            </w:pPr>
            <w:r>
              <w:rPr>
                <w:rFonts w:ascii="Verdana" w:eastAsia="Verdana" w:hAnsi="Verdana" w:cs="Verdana"/>
                <w:sz w:val="20"/>
                <w:szCs w:val="20"/>
              </w:rPr>
              <w:t>75%</w:t>
            </w:r>
          </w:p>
        </w:tc>
      </w:tr>
    </w:tbl>
    <w:p w:rsidR="00E32D54" w:rsidRDefault="00E32D54">
      <w:pPr>
        <w:rPr>
          <w:rFonts w:ascii="Verdana" w:eastAsia="Verdana" w:hAnsi="Verdana" w:cs="Verdana"/>
          <w:sz w:val="20"/>
          <w:szCs w:val="20"/>
        </w:rPr>
      </w:pPr>
    </w:p>
    <w:p w:rsidR="00E32D54" w:rsidRDefault="00000000">
      <w:pPr>
        <w:jc w:val="both"/>
        <w:rPr>
          <w:color w:val="222222"/>
          <w:sz w:val="22"/>
          <w:szCs w:val="22"/>
        </w:rPr>
      </w:pPr>
      <w:r>
        <w:rPr>
          <w:b/>
          <w:color w:val="222222"/>
          <w:sz w:val="22"/>
          <w:szCs w:val="22"/>
        </w:rPr>
        <w:t>Published Paper</w:t>
      </w:r>
      <w:r>
        <w:rPr>
          <w:color w:val="222222"/>
          <w:sz w:val="22"/>
          <w:szCs w:val="22"/>
        </w:rPr>
        <w:t xml:space="preserve">- 1.  ‘Inclusive Higher Education: An Analysis of Post Matric Scholarship for SCs in Punjab’ in Remarking An Analisation, VOl- 3*, Issue-8*, November 2018, pp 83-90, P: ISSN No.2394-0344, E: ISSN No. 2455-0817 </w:t>
      </w:r>
    </w:p>
    <w:p w:rsidR="00E32D54" w:rsidRDefault="00000000">
      <w:pPr>
        <w:jc w:val="both"/>
        <w:rPr>
          <w:color w:val="222222"/>
          <w:sz w:val="22"/>
          <w:szCs w:val="22"/>
        </w:rPr>
      </w:pPr>
      <w:r>
        <w:rPr>
          <w:color w:val="222222"/>
          <w:sz w:val="22"/>
          <w:szCs w:val="22"/>
        </w:rPr>
        <w:t>2. ‘An Analysis of Major Scholarship Schemes in Indian Higher Education’ in Higher Education in India: Present Senario by Dr. Balbir Singh (Editor), pp 41-51 ISBN: 978-93-90154-01-2 (Authors: Harjeet Kaur and Dr. Harvinder Kaur)</w:t>
      </w:r>
    </w:p>
    <w:p w:rsidR="00E32D54" w:rsidRDefault="00000000">
      <w:pPr>
        <w:jc w:val="both"/>
        <w:rPr>
          <w:color w:val="222222"/>
          <w:sz w:val="22"/>
          <w:szCs w:val="22"/>
        </w:rPr>
      </w:pPr>
      <w:r>
        <w:rPr>
          <w:b/>
          <w:color w:val="222222"/>
          <w:sz w:val="22"/>
          <w:szCs w:val="22"/>
        </w:rPr>
        <w:t xml:space="preserve">Paper Presented- </w:t>
      </w:r>
      <w:r>
        <w:rPr>
          <w:color w:val="222222"/>
          <w:sz w:val="22"/>
          <w:szCs w:val="22"/>
        </w:rPr>
        <w:t xml:space="preserve">1. ‘State Sponsored Social Security Schemes in Punjab: Revelution, Strengths/ Weekness and Public Policy Issues’ presented in National seminar on Contemporary Development Issues in Northern India held at Punjabi University Patiala on 27-28 Feb, 2016. </w:t>
      </w:r>
    </w:p>
    <w:p w:rsidR="00E32D54" w:rsidRDefault="00000000">
      <w:pPr>
        <w:jc w:val="both"/>
        <w:rPr>
          <w:color w:val="222222"/>
          <w:sz w:val="22"/>
          <w:szCs w:val="22"/>
        </w:rPr>
      </w:pPr>
      <w:r>
        <w:rPr>
          <w:b/>
          <w:color w:val="222222"/>
          <w:sz w:val="22"/>
          <w:szCs w:val="22"/>
        </w:rPr>
        <w:t xml:space="preserve">2. </w:t>
      </w:r>
      <w:r>
        <w:rPr>
          <w:color w:val="222222"/>
          <w:sz w:val="22"/>
          <w:szCs w:val="22"/>
        </w:rPr>
        <w:t>'Significance of Scholarships in Indian Higher Education with particular reference to Punjab', presented in two days Conference  on Research in Language, Literature and Social Sciences held at Guru Kashi University, Talwandi Sabo, Bathinda (Punjab) on 9 to 10 August, 2018.</w:t>
      </w:r>
    </w:p>
    <w:p w:rsidR="00E32D54" w:rsidRDefault="00000000">
      <w:pPr>
        <w:jc w:val="both"/>
        <w:rPr>
          <w:color w:val="222222"/>
          <w:sz w:val="22"/>
          <w:szCs w:val="22"/>
        </w:rPr>
      </w:pPr>
      <w:r>
        <w:rPr>
          <w:color w:val="222222"/>
          <w:sz w:val="22"/>
          <w:szCs w:val="22"/>
        </w:rPr>
        <w:t>3. ‘Inclusive Higher Education in Punjab and Rajasthan: Role of Post Matric Scholarship Scheme’ presented in 39</w:t>
      </w:r>
      <w:r>
        <w:rPr>
          <w:color w:val="222222"/>
          <w:sz w:val="22"/>
          <w:szCs w:val="22"/>
          <w:vertAlign w:val="superscript"/>
        </w:rPr>
        <w:t>th</w:t>
      </w:r>
      <w:r>
        <w:rPr>
          <w:color w:val="222222"/>
          <w:sz w:val="22"/>
          <w:szCs w:val="22"/>
        </w:rPr>
        <w:t xml:space="preserve"> Annual Conference on Globalization &amp; Governance: Socio Economic Perspective, 30</w:t>
      </w:r>
      <w:r>
        <w:rPr>
          <w:color w:val="222222"/>
          <w:sz w:val="22"/>
          <w:szCs w:val="22"/>
          <w:vertAlign w:val="superscript"/>
        </w:rPr>
        <w:t>th</w:t>
      </w:r>
      <w:r>
        <w:rPr>
          <w:color w:val="222222"/>
          <w:sz w:val="22"/>
          <w:szCs w:val="22"/>
        </w:rPr>
        <w:t xml:space="preserve">-31st March, 2019 held at Department of Economics, Manipal University, Jaipur (Rajasthan). </w:t>
      </w:r>
    </w:p>
    <w:p w:rsidR="00E32D54" w:rsidRDefault="00000000">
      <w:pPr>
        <w:jc w:val="both"/>
        <w:rPr>
          <w:color w:val="222222"/>
          <w:sz w:val="22"/>
          <w:szCs w:val="22"/>
        </w:rPr>
      </w:pPr>
      <w:r>
        <w:rPr>
          <w:color w:val="222222"/>
          <w:sz w:val="22"/>
          <w:szCs w:val="22"/>
        </w:rPr>
        <w:t>4. ‘An Analysis of Major Scholarship Schemes in Indian Higher Education’ presented in National seminar on Higher Education in India: Present Scenario held at Desh Bhagat College Bardwal-Duri(Sangrur) on 30 Sept, 2019.</w:t>
      </w:r>
    </w:p>
    <w:p w:rsidR="00E32D54" w:rsidRDefault="00000000">
      <w:pPr>
        <w:jc w:val="both"/>
        <w:rPr>
          <w:color w:val="222222"/>
          <w:sz w:val="22"/>
          <w:szCs w:val="22"/>
        </w:rPr>
      </w:pPr>
      <w:r>
        <w:rPr>
          <w:b/>
          <w:color w:val="222222"/>
          <w:sz w:val="22"/>
          <w:szCs w:val="22"/>
        </w:rPr>
        <w:t xml:space="preserve">Attended Ten Days Workshop </w:t>
      </w:r>
      <w:r>
        <w:rPr>
          <w:color w:val="222222"/>
          <w:sz w:val="22"/>
          <w:szCs w:val="22"/>
        </w:rPr>
        <w:t>- ‘Training Course on Research Methodology in Social Science’, being organized by Centre for Social Studies, Surat (Gujarat)</w:t>
      </w:r>
      <w:r>
        <w:rPr>
          <w:b/>
          <w:color w:val="222222"/>
          <w:sz w:val="22"/>
          <w:szCs w:val="22"/>
        </w:rPr>
        <w:t xml:space="preserve"> </w:t>
      </w:r>
      <w:r>
        <w:rPr>
          <w:color w:val="222222"/>
          <w:sz w:val="22"/>
          <w:szCs w:val="22"/>
        </w:rPr>
        <w:t xml:space="preserve">on19-28 Oct, 2018.  </w:t>
      </w:r>
      <w:r>
        <w:rPr>
          <w:b/>
          <w:color w:val="222222"/>
          <w:sz w:val="22"/>
          <w:szCs w:val="22"/>
        </w:rPr>
        <w:t xml:space="preserve"> </w:t>
      </w:r>
    </w:p>
    <w:p w:rsidR="00E32D54" w:rsidRDefault="00E32D54">
      <w:pPr>
        <w:pBdr>
          <w:bottom w:val="single" w:sz="18" w:space="1" w:color="000000"/>
        </w:pBdr>
        <w:jc w:val="both"/>
        <w:rPr>
          <w:rFonts w:ascii="Verdana" w:eastAsia="Verdana" w:hAnsi="Verdana" w:cs="Verdana"/>
          <w:sz w:val="20"/>
          <w:szCs w:val="20"/>
        </w:rPr>
      </w:pPr>
    </w:p>
    <w:p w:rsidR="00E32D54" w:rsidRDefault="00000000">
      <w:pPr>
        <w:pBdr>
          <w:bottom w:val="single" w:sz="18" w:space="1" w:color="000000"/>
        </w:pBdr>
        <w:jc w:val="both"/>
        <w:rPr>
          <w:sz w:val="20"/>
          <w:szCs w:val="20"/>
        </w:rPr>
      </w:pPr>
      <w:r>
        <w:rPr>
          <w:b/>
          <w:sz w:val="20"/>
          <w:szCs w:val="20"/>
        </w:rPr>
        <w:t>OTHER SKILLS AND CERTIFICATES</w:t>
      </w:r>
    </w:p>
    <w:p w:rsidR="00E32D54" w:rsidRDefault="00E32D54">
      <w:pPr>
        <w:rPr>
          <w:b/>
          <w:sz w:val="20"/>
          <w:szCs w:val="20"/>
        </w:rPr>
      </w:pPr>
    </w:p>
    <w:p w:rsidR="00E32D54" w:rsidRDefault="00000000">
      <w:pPr>
        <w:rPr>
          <w:b/>
          <w:sz w:val="20"/>
          <w:szCs w:val="20"/>
        </w:rPr>
      </w:pPr>
      <w:r>
        <w:rPr>
          <w:b/>
          <w:sz w:val="20"/>
          <w:szCs w:val="20"/>
        </w:rPr>
        <w:t>Computer Skills:</w:t>
      </w:r>
    </w:p>
    <w:p w:rsidR="00E32D54" w:rsidRDefault="00000000">
      <w:pPr>
        <w:numPr>
          <w:ilvl w:val="0"/>
          <w:numId w:val="3"/>
        </w:numPr>
        <w:jc w:val="both"/>
        <w:rPr>
          <w:sz w:val="20"/>
          <w:szCs w:val="20"/>
        </w:rPr>
      </w:pPr>
      <w:r>
        <w:rPr>
          <w:sz w:val="20"/>
          <w:szCs w:val="20"/>
        </w:rPr>
        <w:t xml:space="preserve">Microsoft XP applications (Word, Excel, Office, PowerPoint, Outlook, Access) </w:t>
      </w:r>
    </w:p>
    <w:p w:rsidR="00E32D54" w:rsidRDefault="00000000">
      <w:pPr>
        <w:rPr>
          <w:b/>
          <w:sz w:val="20"/>
          <w:szCs w:val="20"/>
        </w:rPr>
      </w:pPr>
      <w:r>
        <w:rPr>
          <w:b/>
          <w:sz w:val="20"/>
          <w:szCs w:val="20"/>
        </w:rPr>
        <w:t>Language Skills:</w:t>
      </w:r>
    </w:p>
    <w:p w:rsidR="00E32D54" w:rsidRDefault="00000000">
      <w:pPr>
        <w:numPr>
          <w:ilvl w:val="0"/>
          <w:numId w:val="1"/>
        </w:numPr>
        <w:rPr>
          <w:sz w:val="20"/>
          <w:szCs w:val="20"/>
        </w:rPr>
      </w:pPr>
      <w:r>
        <w:rPr>
          <w:sz w:val="20"/>
          <w:szCs w:val="20"/>
        </w:rPr>
        <w:t>Punjabi- Native Tongue</w:t>
      </w:r>
    </w:p>
    <w:p w:rsidR="00E32D54" w:rsidRDefault="00000000">
      <w:pPr>
        <w:numPr>
          <w:ilvl w:val="0"/>
          <w:numId w:val="1"/>
        </w:numPr>
        <w:rPr>
          <w:sz w:val="20"/>
          <w:szCs w:val="20"/>
        </w:rPr>
      </w:pPr>
      <w:r>
        <w:rPr>
          <w:sz w:val="20"/>
          <w:szCs w:val="20"/>
        </w:rPr>
        <w:t>English - reading ,speaking and writing skills</w:t>
      </w:r>
    </w:p>
    <w:p w:rsidR="00E32D54" w:rsidRDefault="00000000">
      <w:pPr>
        <w:numPr>
          <w:ilvl w:val="0"/>
          <w:numId w:val="1"/>
        </w:numPr>
        <w:rPr>
          <w:sz w:val="20"/>
          <w:szCs w:val="20"/>
        </w:rPr>
      </w:pPr>
      <w:r>
        <w:rPr>
          <w:sz w:val="20"/>
          <w:szCs w:val="20"/>
        </w:rPr>
        <w:t>Hindi-  reading, speaking  and writing skills</w:t>
      </w:r>
    </w:p>
    <w:p w:rsidR="00E32D54" w:rsidRDefault="00000000">
      <w:pPr>
        <w:jc w:val="both"/>
        <w:rPr>
          <w:b/>
          <w:sz w:val="20"/>
          <w:szCs w:val="20"/>
        </w:rPr>
      </w:pPr>
      <w:r>
        <w:rPr>
          <w:b/>
          <w:sz w:val="20"/>
          <w:szCs w:val="20"/>
        </w:rPr>
        <w:t>Other:</w:t>
      </w:r>
    </w:p>
    <w:p w:rsidR="00E32D54" w:rsidRDefault="00000000">
      <w:pPr>
        <w:numPr>
          <w:ilvl w:val="0"/>
          <w:numId w:val="2"/>
        </w:numPr>
        <w:pBdr>
          <w:top w:val="nil"/>
          <w:left w:val="nil"/>
          <w:bottom w:val="nil"/>
          <w:right w:val="nil"/>
          <w:between w:val="nil"/>
        </w:pBdr>
        <w:jc w:val="both"/>
        <w:rPr>
          <w:b/>
          <w:color w:val="000000"/>
          <w:sz w:val="20"/>
          <w:szCs w:val="20"/>
        </w:rPr>
      </w:pPr>
      <w:r>
        <w:rPr>
          <w:color w:val="000000"/>
          <w:sz w:val="20"/>
          <w:szCs w:val="20"/>
        </w:rPr>
        <w:t xml:space="preserve">Qualified UGC NET, PTET, CTET exams  </w:t>
      </w:r>
    </w:p>
    <w:sectPr w:rsidR="00E32D54">
      <w:headerReference w:type="even" r:id="rId9"/>
      <w:headerReference w:type="default" r:id="rId10"/>
      <w:headerReference w:type="first" r:id="rId11"/>
      <w:pgSz w:w="11906" w:h="16838"/>
      <w:pgMar w:top="851" w:right="1134" w:bottom="96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B62" w:rsidRDefault="00393B62">
      <w:r>
        <w:separator/>
      </w:r>
    </w:p>
  </w:endnote>
  <w:endnote w:type="continuationSeparator" w:id="0">
    <w:p w:rsidR="00393B62" w:rsidRDefault="0039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B62" w:rsidRDefault="00393B62">
      <w:r>
        <w:separator/>
      </w:r>
    </w:p>
  </w:footnote>
  <w:footnote w:type="continuationSeparator" w:id="0">
    <w:p w:rsidR="00393B62" w:rsidRDefault="0039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D54" w:rsidRDefault="00E32D54">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D54" w:rsidRDefault="00E32D54">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D54" w:rsidRDefault="00E32D5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E7AB2"/>
    <w:multiLevelType w:val="multilevel"/>
    <w:tmpl w:val="B6C42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BE56E5"/>
    <w:multiLevelType w:val="multilevel"/>
    <w:tmpl w:val="C3504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3D376B"/>
    <w:multiLevelType w:val="multilevel"/>
    <w:tmpl w:val="A6D61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8598156">
    <w:abstractNumId w:val="2"/>
  </w:num>
  <w:num w:numId="2" w16cid:durableId="1561211697">
    <w:abstractNumId w:val="1"/>
  </w:num>
  <w:num w:numId="3" w16cid:durableId="197194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54"/>
    <w:rsid w:val="00393B62"/>
    <w:rsid w:val="00952E26"/>
    <w:rsid w:val="00E32D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64DAE-8032-4695-8054-F45BDA7C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388"/>
    <w:rPr>
      <w:lang w:eastAsia="en-AU"/>
    </w:rPr>
  </w:style>
  <w:style w:type="paragraph" w:styleId="Heading1">
    <w:name w:val="heading 1"/>
    <w:aliases w:val="Heading 1 Char Char1,Heading 1 Char1 Char Char,Heading 1 Char Char Char Char,Heading 1 Char Char1 Char Char Char Char,Heading 1 Char1 Char Char Char Char Char Char,Heading 1 Char Char Char Char Char Char Char Char"/>
    <w:basedOn w:val="Normal"/>
    <w:next w:val="BodyText"/>
    <w:link w:val="Heading1Char"/>
    <w:uiPriority w:val="9"/>
    <w:qFormat/>
    <w:rsid w:val="00885388"/>
    <w:pPr>
      <w:keepNext/>
      <w:keepLines/>
      <w:shd w:val="pct10" w:color="auto" w:fill="auto"/>
      <w:spacing w:before="220" w:after="220" w:line="280" w:lineRule="atLeast"/>
      <w:ind w:firstLine="1080"/>
      <w:outlineLvl w:val="0"/>
    </w:pPr>
    <w:rPr>
      <w:rFonts w:ascii="Arial" w:hAnsi="Arial"/>
      <w:b/>
      <w:spacing w:val="-10"/>
      <w:kern w:val="28"/>
      <w:position w:val="6"/>
      <w:szCs w:val="20"/>
      <w:lang w:val="en-US"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 Char Char1 Char,Heading 1 Char1 Char Char Char,Heading 1 Char Char Char Char Char,Heading 1 Char Char1 Char Char Char Char Char,Heading 1 Char1 Char Char Char Char Char Char Char"/>
    <w:basedOn w:val="DefaultParagraphFont"/>
    <w:link w:val="Heading1"/>
    <w:rsid w:val="00885388"/>
    <w:rPr>
      <w:rFonts w:ascii="Arial" w:eastAsia="Times New Roman" w:hAnsi="Arial" w:cs="Times New Roman"/>
      <w:b/>
      <w:spacing w:val="-10"/>
      <w:kern w:val="28"/>
      <w:position w:val="6"/>
      <w:sz w:val="24"/>
      <w:szCs w:val="20"/>
      <w:shd w:val="pct10" w:color="auto" w:fill="auto"/>
      <w:lang w:val="en-US" w:bidi="ar-SA"/>
    </w:rPr>
  </w:style>
  <w:style w:type="paragraph" w:styleId="Header">
    <w:name w:val="header"/>
    <w:basedOn w:val="Normal"/>
    <w:link w:val="HeaderChar"/>
    <w:rsid w:val="00885388"/>
    <w:pPr>
      <w:tabs>
        <w:tab w:val="center" w:pos="4153"/>
        <w:tab w:val="right" w:pos="8306"/>
      </w:tabs>
    </w:pPr>
  </w:style>
  <w:style w:type="character" w:customStyle="1" w:styleId="HeaderChar">
    <w:name w:val="Header Char"/>
    <w:basedOn w:val="DefaultParagraphFont"/>
    <w:link w:val="Header"/>
    <w:rsid w:val="00885388"/>
    <w:rPr>
      <w:rFonts w:ascii="Times New Roman" w:eastAsia="Times New Roman" w:hAnsi="Times New Roman" w:cs="Times New Roman"/>
      <w:sz w:val="24"/>
      <w:szCs w:val="24"/>
      <w:lang w:val="en-AU" w:eastAsia="en-AU" w:bidi="ar-SA"/>
    </w:rPr>
  </w:style>
  <w:style w:type="paragraph" w:styleId="BodyText">
    <w:name w:val="Body Text"/>
    <w:basedOn w:val="Normal"/>
    <w:link w:val="BodyTextChar"/>
    <w:uiPriority w:val="99"/>
    <w:semiHidden/>
    <w:unhideWhenUsed/>
    <w:rsid w:val="00885388"/>
    <w:pPr>
      <w:spacing w:after="120"/>
    </w:pPr>
  </w:style>
  <w:style w:type="character" w:customStyle="1" w:styleId="BodyTextChar">
    <w:name w:val="Body Text Char"/>
    <w:basedOn w:val="DefaultParagraphFont"/>
    <w:link w:val="BodyText"/>
    <w:uiPriority w:val="99"/>
    <w:semiHidden/>
    <w:rsid w:val="00885388"/>
    <w:rPr>
      <w:rFonts w:ascii="Times New Roman" w:eastAsia="Times New Roman" w:hAnsi="Times New Roman" w:cs="Times New Roman"/>
      <w:sz w:val="24"/>
      <w:szCs w:val="24"/>
      <w:lang w:val="en-AU" w:eastAsia="en-AU" w:bidi="ar-SA"/>
    </w:rPr>
  </w:style>
  <w:style w:type="paragraph" w:styleId="BalloonText">
    <w:name w:val="Balloon Text"/>
    <w:basedOn w:val="Normal"/>
    <w:link w:val="BalloonTextChar"/>
    <w:uiPriority w:val="99"/>
    <w:semiHidden/>
    <w:unhideWhenUsed/>
    <w:rsid w:val="00885388"/>
    <w:rPr>
      <w:rFonts w:ascii="Tahoma" w:hAnsi="Tahoma" w:cs="Tahoma"/>
      <w:sz w:val="16"/>
      <w:szCs w:val="16"/>
    </w:rPr>
  </w:style>
  <w:style w:type="character" w:customStyle="1" w:styleId="BalloonTextChar">
    <w:name w:val="Balloon Text Char"/>
    <w:basedOn w:val="DefaultParagraphFont"/>
    <w:link w:val="BalloonText"/>
    <w:uiPriority w:val="99"/>
    <w:semiHidden/>
    <w:rsid w:val="00885388"/>
    <w:rPr>
      <w:rFonts w:ascii="Tahoma" w:eastAsia="Times New Roman" w:hAnsi="Tahoma" w:cs="Tahoma"/>
      <w:sz w:val="16"/>
      <w:szCs w:val="16"/>
      <w:lang w:val="en-AU" w:eastAsia="en-AU" w:bidi="ar-SA"/>
    </w:rPr>
  </w:style>
  <w:style w:type="table" w:styleId="TableGrid">
    <w:name w:val="Table Grid"/>
    <w:basedOn w:val="TableNormal"/>
    <w:uiPriority w:val="59"/>
    <w:rsid w:val="00E92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41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tqdwk3zHvSu4PTHefjtT/VOXg==">AMUW2mVHODX2SXf8gJmjUyVAODLnOg6JUcpgNU8gGkVHqyTDuZaANHD2xf9dOxooHvyrU5yeUPUIRE7fH+kTIxyYOVrpEAxuKZwIOxcGx/3K/JMdQX7JU33ugnCEhLt85zcKgWDVJabi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BAM KHALSA COLLAGE</cp:lastModifiedBy>
  <cp:revision>2</cp:revision>
  <dcterms:created xsi:type="dcterms:W3CDTF">2022-12-08T04:28:00Z</dcterms:created>
  <dcterms:modified xsi:type="dcterms:W3CDTF">2022-12-08T04:28:00Z</dcterms:modified>
</cp:coreProperties>
</file>